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Reglas De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Hermenéutica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1.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Toda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interpretación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debe hacerse en el contexto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Histórico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del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pasaje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, verso, o texto.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2.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Toda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interpretación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debe de tener la idea general del libro,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capítulo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, o verso.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3. Todo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interpretación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debe de tener la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observación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de los hechos (Lo que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está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escrito)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4. Todo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interpretación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no debe interpretarse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más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de lo que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está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escrito (1 Corintios 4:56)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5." " Es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interpretación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por la misma Biblia, la biblia (2 Pedro 1:20)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6. Ninguna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interpretación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está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completa sin considerar las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demás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partes de la biblia (el otro lado de la verdad)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7. Toda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interpretación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debe concluir de una clara, sencilla manera y debe responder a las siguientes preguntas *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¿Qué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importancia tiene? *Porque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está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escrito en la biblia *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¿Cómo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concuerda con las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demás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partes de la biblia?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8. Toda pregunta progresiva, tiene como base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la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observación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de los hechos.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9. Toda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aplicación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tiene como base la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observación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de los hechos.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10. Ninguna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aplicación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se debe llevar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a cabo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sin antes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haber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observado, interpretado o concluido con los hechos correctamente.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Trasfondo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Histórico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Esta carta escrita  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Epistola de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1 Pedro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Resumen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de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trasfondo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histórico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Merriweather" w:cs="Merriweather" w:eastAsia="Merriweather" w:hAnsi="Merriweather"/>
          <w:smallCaps w:val="0"/>
        </w:rPr>
      </w:pP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Pedro dirige esta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epístola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a los peregrinos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en un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mundo que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está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creciendo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rápidamente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hostil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hacia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Cristianos. Estos creyentes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están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comenzando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a sufrir por su fe en Crist y Pedro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usa esta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carta para consolarlos y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aclarar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la esperanza viva que tienen en realidad por medio de Cristo. En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siendo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firmes en la gracia de dios (5:12)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podrán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perseverar sus pruebas de fuego(4:12), sabiendo que tienen un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propósito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divino en su dolor. Esta carta repasa temas de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salvación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para el creyente (1:1-2:12); la 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sumisión</w:t>
      </w:r>
      <w:r w:rsidDel="00000000" w:rsidR="00000000" w:rsidRPr="00000000">
        <w:rPr>
          <w:rFonts w:ascii="Merriweather" w:cs="Merriweather" w:eastAsia="Merriweather" w:hAnsi="Merriweather"/>
          <w:smallCaps w:val="0"/>
          <w:rtl w:val="0"/>
        </w:rPr>
        <w:t xml:space="preserve"> del creyente (2:13-3:12); y el sufrimiento del creyente.(3:13-5:14).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/M81t6bZJjcPmLdazrwvOQ3H3A==">AMUW2mWhMaQOa+6JGzkdnRiYBBR+oA0X17WKVgyDikkcE0eWW/aXHVe1eWQVJ+sS4Yk6oTR3FdRdYEIrqlNPVeJeaTlIb1aYPblwVYT+HXMRZmdcSX7zkzY=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